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575"/>
        <w:gridCol w:w="126"/>
      </w:tblGrid>
      <w:tr w:rsidR="00451F8C" w14:paraId="0023AC80" w14:textId="77777777">
        <w:trPr>
          <w:trHeight w:val="40"/>
        </w:trPr>
        <w:tc>
          <w:tcPr>
            <w:tcW w:w="90" w:type="dxa"/>
          </w:tcPr>
          <w:p w14:paraId="0023AC7D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9576" w:type="dxa"/>
          </w:tcPr>
          <w:p w14:paraId="0023AC7E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0023AC7F" w14:textId="77777777" w:rsidR="00451F8C" w:rsidRDefault="00451F8C">
            <w:pPr>
              <w:pStyle w:val="EmptyCellLayoutStyle"/>
              <w:spacing w:after="0" w:line="240" w:lineRule="auto"/>
            </w:pPr>
          </w:p>
        </w:tc>
      </w:tr>
      <w:tr w:rsidR="00451F8C" w14:paraId="0023ACCA" w14:textId="77777777">
        <w:tc>
          <w:tcPr>
            <w:tcW w:w="90" w:type="dxa"/>
          </w:tcPr>
          <w:p w14:paraId="0023AC81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1044"/>
              <w:gridCol w:w="2916"/>
              <w:gridCol w:w="1764"/>
              <w:gridCol w:w="756"/>
            </w:tblGrid>
            <w:tr w:rsidR="00F41CB9" w14:paraId="0023AC88" w14:textId="77777777" w:rsidTr="00F41CB9">
              <w:trPr>
                <w:trHeight w:val="181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82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Budget Action Title: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83" w14:textId="69980B61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Request </w:t>
                  </w:r>
                  <w:r w:rsidR="001C1850"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r w:rsidR="001C1850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SDCI to collaborate on developing reforms to </w:t>
                  </w:r>
                  <w:r w:rsidR="00CD727C"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the design review program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F41CB9" w14:paraId="0023AC8F" w14:textId="77777777" w:rsidTr="00F41CB9">
              <w:trPr>
                <w:trHeight w:val="181"/>
              </w:trPr>
              <w:tc>
                <w:tcPr>
                  <w:tcW w:w="20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89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41CB9" w14:paraId="0023AC96" w14:textId="77777777" w:rsidTr="00F41CB9">
              <w:trPr>
                <w:trHeight w:val="181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90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Ongoing: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91" w14:textId="492C4DEE" w:rsidR="00451F8C" w:rsidRDefault="001C1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Yes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93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94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Has Attachment: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95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</w:t>
                  </w:r>
                </w:p>
              </w:tc>
            </w:tr>
            <w:tr w:rsidR="00F41CB9" w14:paraId="0023AC9D" w14:textId="77777777" w:rsidTr="00F41CB9">
              <w:trPr>
                <w:trHeight w:val="181"/>
              </w:trPr>
              <w:tc>
                <w:tcPr>
                  <w:tcW w:w="20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97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41CB9" w14:paraId="0023ACA4" w14:textId="77777777" w:rsidTr="00F41CB9">
              <w:trPr>
                <w:trHeight w:val="181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9E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Primary Sponsor: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9F" w14:textId="41FB43D9" w:rsidR="00451F8C" w:rsidRDefault="001C1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TBD</w:t>
                  </w:r>
                </w:p>
              </w:tc>
            </w:tr>
            <w:tr w:rsidR="00F41CB9" w14:paraId="0023ACAB" w14:textId="77777777" w:rsidTr="00F41CB9">
              <w:trPr>
                <w:trHeight w:val="181"/>
              </w:trPr>
              <w:tc>
                <w:tcPr>
                  <w:tcW w:w="20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A5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41CB9" w14:paraId="0023ACB2" w14:textId="77777777" w:rsidTr="00F41CB9">
              <w:trPr>
                <w:trHeight w:val="181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AC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Council Members: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AD" w14:textId="4D7DC897" w:rsidR="00451F8C" w:rsidRDefault="001C1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TBD </w:t>
                  </w:r>
                </w:p>
              </w:tc>
            </w:tr>
            <w:tr w:rsidR="00F41CB9" w14:paraId="0023ACB9" w14:textId="77777777" w:rsidTr="00F41CB9">
              <w:trPr>
                <w:trHeight w:val="181"/>
              </w:trPr>
              <w:tc>
                <w:tcPr>
                  <w:tcW w:w="20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B3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41CB9" w14:paraId="0023ACC0" w14:textId="77777777" w:rsidTr="00F41CB9">
              <w:trPr>
                <w:trHeight w:val="181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BA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Staff Analyst:</w:t>
                  </w:r>
                </w:p>
              </w:tc>
              <w:tc>
                <w:tcPr>
                  <w:tcW w:w="10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BB" w14:textId="3C96975B" w:rsidR="00451F8C" w:rsidRDefault="001C18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TBD </w:t>
                  </w:r>
                </w:p>
              </w:tc>
            </w:tr>
            <w:tr w:rsidR="00F41CB9" w14:paraId="0023ACC7" w14:textId="77777777" w:rsidTr="00F41CB9">
              <w:trPr>
                <w:trHeight w:val="181"/>
              </w:trPr>
              <w:tc>
                <w:tcPr>
                  <w:tcW w:w="20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C1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0023ACC8" w14:textId="77777777" w:rsidR="00451F8C" w:rsidRDefault="00451F8C">
            <w:pPr>
              <w:spacing w:after="0" w:line="240" w:lineRule="auto"/>
            </w:pPr>
          </w:p>
        </w:tc>
        <w:tc>
          <w:tcPr>
            <w:tcW w:w="126" w:type="dxa"/>
          </w:tcPr>
          <w:p w14:paraId="0023ACC9" w14:textId="77777777" w:rsidR="00451F8C" w:rsidRDefault="00451F8C">
            <w:pPr>
              <w:pStyle w:val="EmptyCellLayoutStyle"/>
              <w:spacing w:after="0" w:line="240" w:lineRule="auto"/>
            </w:pPr>
          </w:p>
        </w:tc>
      </w:tr>
      <w:tr w:rsidR="00451F8C" w14:paraId="0023ACCE" w14:textId="77777777">
        <w:trPr>
          <w:trHeight w:val="81"/>
        </w:trPr>
        <w:tc>
          <w:tcPr>
            <w:tcW w:w="90" w:type="dxa"/>
          </w:tcPr>
          <w:p w14:paraId="0023ACCB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9576" w:type="dxa"/>
          </w:tcPr>
          <w:p w14:paraId="0023ACCC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0023ACCD" w14:textId="77777777" w:rsidR="00451F8C" w:rsidRDefault="00451F8C">
            <w:pPr>
              <w:pStyle w:val="EmptyCellLayoutStyle"/>
              <w:spacing w:after="0" w:line="240" w:lineRule="auto"/>
            </w:pPr>
          </w:p>
        </w:tc>
      </w:tr>
      <w:tr w:rsidR="00451F8C" w14:paraId="0023AD13" w14:textId="77777777">
        <w:tc>
          <w:tcPr>
            <w:tcW w:w="90" w:type="dxa"/>
          </w:tcPr>
          <w:p w14:paraId="0023ACCF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1026"/>
              <w:gridCol w:w="882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</w:tblGrid>
            <w:tr w:rsidR="00451F8C" w14:paraId="0023ACDC" w14:textId="77777777">
              <w:trPr>
                <w:trHeight w:val="224"/>
              </w:trPr>
              <w:tc>
                <w:tcPr>
                  <w:tcW w:w="10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0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Date</w:t>
                  </w:r>
                </w:p>
              </w:tc>
              <w:tc>
                <w:tcPr>
                  <w:tcW w:w="10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1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2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3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LH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4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TM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5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KS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6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AP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7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8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DS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9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AL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A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TM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B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LG</w:t>
                  </w:r>
                </w:p>
              </w:tc>
            </w:tr>
            <w:tr w:rsidR="00451F8C" w14:paraId="0023ACE9" w14:textId="77777777">
              <w:trPr>
                <w:trHeight w:val="181"/>
              </w:trPr>
              <w:tc>
                <w:tcPr>
                  <w:tcW w:w="102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D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E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Yes</w:t>
                  </w:r>
                </w:p>
              </w:tc>
              <w:tc>
                <w:tcPr>
                  <w:tcW w:w="8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DF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0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1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2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3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4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5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6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7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8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51F8C" w14:paraId="0023ACF6" w14:textId="77777777">
              <w:trPr>
                <w:trHeight w:val="181"/>
              </w:trPr>
              <w:tc>
                <w:tcPr>
                  <w:tcW w:w="102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A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B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</w:t>
                  </w:r>
                </w:p>
              </w:tc>
              <w:tc>
                <w:tcPr>
                  <w:tcW w:w="8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C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D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E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EF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0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1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2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3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4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5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51F8C" w14:paraId="0023AD03" w14:textId="77777777">
              <w:trPr>
                <w:trHeight w:val="181"/>
              </w:trPr>
              <w:tc>
                <w:tcPr>
                  <w:tcW w:w="1026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7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8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Abstain</w:t>
                  </w:r>
                </w:p>
              </w:tc>
              <w:tc>
                <w:tcPr>
                  <w:tcW w:w="8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9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A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B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C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D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E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CFF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0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1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2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451F8C" w14:paraId="0023AD10" w14:textId="77777777">
              <w:trPr>
                <w:trHeight w:val="181"/>
              </w:trPr>
              <w:tc>
                <w:tcPr>
                  <w:tcW w:w="102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4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5" w14:textId="77777777" w:rsidR="00451F8C" w:rsidRDefault="00F41C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Absent</w:t>
                  </w:r>
                </w:p>
              </w:tc>
              <w:tc>
                <w:tcPr>
                  <w:tcW w:w="8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6" w14:textId="77777777" w:rsidR="00451F8C" w:rsidRDefault="00F41CB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7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8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9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A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B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C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D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E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AD0F" w14:textId="77777777" w:rsidR="00451F8C" w:rsidRDefault="00451F8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0023AD11" w14:textId="77777777" w:rsidR="00451F8C" w:rsidRDefault="00451F8C">
            <w:pPr>
              <w:spacing w:after="0" w:line="240" w:lineRule="auto"/>
            </w:pPr>
          </w:p>
        </w:tc>
        <w:tc>
          <w:tcPr>
            <w:tcW w:w="126" w:type="dxa"/>
          </w:tcPr>
          <w:p w14:paraId="0023AD12" w14:textId="77777777" w:rsidR="00451F8C" w:rsidRDefault="00451F8C">
            <w:pPr>
              <w:pStyle w:val="EmptyCellLayoutStyle"/>
              <w:spacing w:after="0" w:line="240" w:lineRule="auto"/>
            </w:pPr>
          </w:p>
        </w:tc>
      </w:tr>
      <w:tr w:rsidR="00451F8C" w14:paraId="0023AD17" w14:textId="77777777">
        <w:trPr>
          <w:trHeight w:val="163"/>
        </w:trPr>
        <w:tc>
          <w:tcPr>
            <w:tcW w:w="90" w:type="dxa"/>
          </w:tcPr>
          <w:p w14:paraId="0023AD14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9576" w:type="dxa"/>
          </w:tcPr>
          <w:p w14:paraId="0023AD15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0023AD16" w14:textId="77777777" w:rsidR="00451F8C" w:rsidRDefault="00451F8C">
            <w:pPr>
              <w:pStyle w:val="EmptyCellLayoutStyle"/>
              <w:spacing w:after="0" w:line="240" w:lineRule="auto"/>
            </w:pPr>
          </w:p>
        </w:tc>
      </w:tr>
      <w:tr w:rsidR="00451F8C" w14:paraId="0023AD5D" w14:textId="77777777">
        <w:tc>
          <w:tcPr>
            <w:tcW w:w="90" w:type="dxa"/>
          </w:tcPr>
          <w:p w14:paraId="0023AD18" w14:textId="77777777" w:rsidR="00451F8C" w:rsidRDefault="00451F8C">
            <w:pPr>
              <w:pStyle w:val="EmptyCellLayoutStyle"/>
              <w:spacing w:after="0" w:line="240" w:lineRule="auto"/>
            </w:pPr>
          </w:p>
        </w:tc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54"/>
              <w:gridCol w:w="1905"/>
              <w:gridCol w:w="974"/>
              <w:gridCol w:w="4281"/>
            </w:tblGrid>
            <w:tr w:rsidR="00F41CB9" w14:paraId="0023AD20" w14:textId="77777777" w:rsidTr="00F41CB9">
              <w:trPr>
                <w:trHeight w:val="259"/>
              </w:trPr>
              <w:tc>
                <w:tcPr>
                  <w:tcW w:w="216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9"/>
                  </w:tblGrid>
                  <w:tr w:rsidR="00451F8C" w14:paraId="0023AD1A" w14:textId="77777777">
                    <w:trPr>
                      <w:trHeight w:val="181"/>
                    </w:trPr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23AD19" w14:textId="77777777" w:rsidR="00451F8C" w:rsidRDefault="00F41CB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Statement of Legislative Intent:</w:t>
                        </w:r>
                      </w:p>
                    </w:tc>
                  </w:tr>
                </w:tbl>
                <w:p w14:paraId="0023AD1B" w14:textId="77777777" w:rsidR="00451F8C" w:rsidRDefault="00451F8C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</w:tcPr>
                <w:p w14:paraId="0023AD1E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81" w:type="dxa"/>
                </w:tcPr>
                <w:p w14:paraId="0023AD1F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1CB9" w14:paraId="0023AD28" w14:textId="77777777" w:rsidTr="00F41CB9">
              <w:trPr>
                <w:trHeight w:val="259"/>
              </w:trPr>
              <w:tc>
                <w:tcPr>
                  <w:tcW w:w="2160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4"/>
                  </w:tblGrid>
                  <w:tr w:rsidR="00451F8C" w14:paraId="0023AD22" w14:textId="77777777">
                    <w:trPr>
                      <w:trHeight w:val="181"/>
                    </w:trPr>
                    <w:tc>
                      <w:tcPr>
                        <w:tcW w:w="9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B77598" w14:textId="30D00B27" w:rsidR="00850E12" w:rsidRDefault="00F41CB9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This Statement of Legislative Intent request</w:t>
                        </w:r>
                        <w:r w:rsidR="00CD727C">
                          <w:rPr>
                            <w:rFonts w:ascii="Arial" w:eastAsia="Arial" w:hAnsi="Arial"/>
                            <w:color w:val="000000"/>
                          </w:rPr>
                          <w:t>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that the Seattle Department of Constructions</w:t>
                        </w:r>
                        <w:r w:rsidR="00AF261D">
                          <w:rPr>
                            <w:rFonts w:ascii="Arial" w:eastAsia="Arial" w:hAnsi="Arial"/>
                            <w:color w:val="000000"/>
                          </w:rPr>
                          <w:t xml:space="preserve"> and Inspection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(SDCI) </w:t>
                        </w:r>
                        <w:r w:rsidR="00CD727C">
                          <w:rPr>
                            <w:rFonts w:ascii="Arial" w:eastAsia="Arial" w:hAnsi="Arial"/>
                            <w:color w:val="000000"/>
                          </w:rPr>
                          <w:t>coordinate with stakeholders, including but not limited to Seattle for Everyone, AIA Seattle, Housing Development Consortium, and NAIOP Commercial Real Estate</w:t>
                        </w:r>
                        <w:r w:rsidR="00850E12">
                          <w:rPr>
                            <w:rFonts w:ascii="Arial" w:eastAsia="Arial" w:hAnsi="Arial"/>
                            <w:color w:val="000000"/>
                          </w:rPr>
                          <w:t xml:space="preserve"> Washington, to evaluate the design review program and other discretionary reviews in the Master Use Permit process and identify reforms that will</w:t>
                        </w:r>
                        <w:r w:rsidR="00514782">
                          <w:rPr>
                            <w:rFonts w:ascii="Arial" w:eastAsia="Arial" w:hAnsi="Arial"/>
                            <w:color w:val="000000"/>
                          </w:rPr>
                          <w:t xml:space="preserve"> streamline and reduce overall permit timelines to</w:t>
                        </w:r>
                        <w:r w:rsidR="00850E12">
                          <w:rPr>
                            <w:rFonts w:ascii="Arial" w:eastAsia="Arial" w:hAnsi="Arial"/>
                            <w:color w:val="000000"/>
                          </w:rPr>
                          <w:t xml:space="preserve"> expedite the production of housing in Seattl</w:t>
                        </w:r>
                        <w:r w:rsidR="00514782">
                          <w:rPr>
                            <w:rFonts w:ascii="Arial" w:eastAsia="Arial" w:hAnsi="Arial"/>
                            <w:color w:val="000000"/>
                          </w:rPr>
                          <w:t>e</w:t>
                        </w:r>
                        <w:r w:rsidR="00850E12">
                          <w:rPr>
                            <w:rFonts w:ascii="Arial" w:eastAsia="Arial" w:hAnsi="Arial"/>
                            <w:color w:val="000000"/>
                          </w:rPr>
                          <w:t>.</w:t>
                        </w:r>
                        <w:r w:rsidR="00D93651">
                          <w:rPr>
                            <w:rFonts w:ascii="Arial" w:eastAsia="Arial" w:hAnsi="Arial"/>
                            <w:color w:val="000000"/>
                          </w:rPr>
                          <w:t xml:space="preserve">   The Council further requests that SDCI provided a report to Council by March 31, 2022 summarizing its work.  </w:t>
                        </w:r>
                        <w:r w:rsidR="00850E12">
                          <w:rPr>
                            <w:rFonts w:ascii="Arial" w:eastAsia="Arial" w:hAnsi="Arial"/>
                            <w:color w:val="000000"/>
                          </w:rPr>
                          <w:t xml:space="preserve">The report should, at a minimum, including the following: </w:t>
                        </w:r>
                      </w:p>
                      <w:p w14:paraId="190AB9DE" w14:textId="77777777" w:rsidR="00850E12" w:rsidRDefault="00850E12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14:paraId="043CDCCE" w14:textId="0B9EE8BC" w:rsidR="00850E12" w:rsidRDefault="00850E12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1) Analysis of timelines to obtain design review approval using the SDCI quarterly permit report; </w:t>
                        </w:r>
                      </w:p>
                      <w:p w14:paraId="6A5335DB" w14:textId="1546104B" w:rsidR="00850E12" w:rsidRDefault="00850E12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14:paraId="103DA4D2" w14:textId="628DF0BA" w:rsidR="00850E12" w:rsidRDefault="00850E12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2) Analysis of best practices review of other</w:t>
                        </w:r>
                        <w:r w:rsidR="00CD7DCA">
                          <w:rPr>
                            <w:rFonts w:ascii="Arial" w:eastAsia="Arial" w:hAnsi="Arial"/>
                            <w:color w:val="000000"/>
                          </w:rPr>
                          <w:t xml:space="preserve"> peer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cities in regulating aesthetics; </w:t>
                        </w:r>
                      </w:p>
                      <w:p w14:paraId="2A2AF02F" w14:textId="77777777" w:rsidR="00850E12" w:rsidRDefault="00850E12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14:paraId="15D2187C" w14:textId="7985AAE2" w:rsidR="00850E12" w:rsidRDefault="00850E12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3) Analysis of the role that aesthetic review </w:t>
                        </w:r>
                        <w:r w:rsidR="00D93651">
                          <w:rPr>
                            <w:rFonts w:ascii="Arial" w:eastAsia="Arial" w:hAnsi="Arial"/>
                            <w:color w:val="000000"/>
                          </w:rPr>
                          <w:t xml:space="preserve">processes have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historically played in opposition to housing</w:t>
                        </w:r>
                        <w:r w:rsidR="00D93651">
                          <w:rPr>
                            <w:rFonts w:ascii="Arial" w:eastAsia="Arial" w:hAnsi="Arial"/>
                            <w:color w:val="000000"/>
                          </w:rPr>
                          <w:t xml:space="preserve">; </w:t>
                        </w:r>
                      </w:p>
                      <w:p w14:paraId="41C3905E" w14:textId="77777777" w:rsidR="00850E12" w:rsidRDefault="00850E12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14:paraId="5757F838" w14:textId="391D6AFE" w:rsidR="00D93651" w:rsidRDefault="00850E12" w:rsidP="00D93651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4) </w:t>
                        </w:r>
                        <w:r w:rsidR="00D93651">
                          <w:rPr>
                            <w:rFonts w:ascii="Arial" w:eastAsia="Arial" w:hAnsi="Arial"/>
                            <w:color w:val="000000"/>
                          </w:rPr>
                          <w:t>Recommendations for legislative and administrative reforms to reduce the barriers to new housing</w:t>
                        </w:r>
                        <w:r w:rsidR="00F8291B">
                          <w:rPr>
                            <w:rFonts w:ascii="Arial" w:eastAsia="Arial" w:hAnsi="Arial"/>
                            <w:color w:val="000000"/>
                          </w:rPr>
                          <w:t xml:space="preserve">, including significant reduction in </w:t>
                        </w:r>
                        <w:r w:rsidR="004513CE">
                          <w:rPr>
                            <w:rFonts w:ascii="Arial" w:eastAsia="Arial" w:hAnsi="Arial"/>
                            <w:color w:val="000000"/>
                          </w:rPr>
                          <w:t xml:space="preserve">overall </w:t>
                        </w:r>
                        <w:r w:rsidR="00F8291B">
                          <w:rPr>
                            <w:rFonts w:ascii="Arial" w:eastAsia="Arial" w:hAnsi="Arial"/>
                            <w:color w:val="000000"/>
                          </w:rPr>
                          <w:t>permit timelines.</w:t>
                        </w:r>
                        <w:r w:rsidR="00D93651">
                          <w:rPr>
                            <w:rFonts w:ascii="Arial" w:eastAsia="Arial" w:hAnsi="Arial"/>
                            <w:color w:val="000000"/>
                          </w:rPr>
                          <w:t xml:space="preserve">   </w:t>
                        </w:r>
                      </w:p>
                      <w:p w14:paraId="51C5C41B" w14:textId="77777777" w:rsidR="00D93651" w:rsidRDefault="00D93651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  <w:p w14:paraId="0023AD21" w14:textId="71A01155" w:rsidR="00451F8C" w:rsidRDefault="00D9365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The report shall be focused on the SDCI Master Use Permit and design review process and shall not include review of the special review district process</w:t>
                        </w:r>
                        <w:r w:rsidR="007667FA">
                          <w:rPr>
                            <w:rFonts w:ascii="Arial" w:eastAsia="Arial" w:hAnsi="Arial"/>
                            <w:color w:val="000000"/>
                          </w:rPr>
                          <w:t xml:space="preserve"> governed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by </w:t>
                        </w:r>
                        <w:r w:rsidR="007667FA">
                          <w:rPr>
                            <w:rFonts w:ascii="Arial" w:eastAsia="Arial" w:hAnsi="Arial"/>
                            <w:color w:val="000000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Department of Neighborhoods, including the International Special Review District process.   SDCI’s report would be due to the Land Use &amp; Neighborhoods Committee (or its successor) by March 31, 2022 with the goal of </w:t>
                        </w:r>
                        <w:r w:rsidR="00F41CB9">
                          <w:rPr>
                            <w:rFonts w:ascii="Arial" w:eastAsia="Arial" w:hAnsi="Arial"/>
                            <w:color w:val="000000"/>
                          </w:rPr>
                          <w:t>having legislation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, including an environmental </w:t>
                        </w:r>
                        <w:r w:rsidR="004312D6">
                          <w:rPr>
                            <w:rFonts w:ascii="Arial" w:eastAsia="Arial" w:hAnsi="Arial"/>
                            <w:color w:val="000000"/>
                          </w:rPr>
                          <w:t>review,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if necessary,</w:t>
                        </w:r>
                        <w:r w:rsidR="00F41CB9">
                          <w:rPr>
                            <w:rFonts w:ascii="Arial" w:eastAsia="Arial" w:hAnsi="Arial"/>
                            <w:color w:val="000000"/>
                          </w:rPr>
                          <w:t xml:space="preserve"> ready for Council consideration by June 30, 202</w:t>
                        </w:r>
                        <w:r w:rsidR="001C1850">
                          <w:rPr>
                            <w:rFonts w:ascii="Arial" w:eastAsia="Arial" w:hAnsi="Arial"/>
                            <w:color w:val="000000"/>
                          </w:rPr>
                          <w:t>2</w:t>
                        </w:r>
                        <w:r w:rsidR="00F41CB9">
                          <w:rPr>
                            <w:rFonts w:ascii="Arial" w:eastAsia="Arial" w:hAnsi="Arial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D93651" w14:paraId="018B265B" w14:textId="77777777">
                    <w:trPr>
                      <w:trHeight w:val="181"/>
                    </w:trPr>
                    <w:tc>
                      <w:tcPr>
                        <w:tcW w:w="9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F9F726" w14:textId="77777777" w:rsidR="00D93651" w:rsidRDefault="00D93651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</w:p>
                    </w:tc>
                  </w:tr>
                </w:tbl>
                <w:p w14:paraId="0023AD23" w14:textId="77777777" w:rsidR="00451F8C" w:rsidRDefault="00451F8C">
                  <w:pPr>
                    <w:spacing w:after="0" w:line="240" w:lineRule="auto"/>
                  </w:pPr>
                </w:p>
              </w:tc>
            </w:tr>
            <w:tr w:rsidR="00451F8C" w14:paraId="0023AD2E" w14:textId="77777777">
              <w:trPr>
                <w:trHeight w:val="123"/>
              </w:trPr>
              <w:tc>
                <w:tcPr>
                  <w:tcW w:w="2160" w:type="dxa"/>
                </w:tcPr>
                <w:p w14:paraId="0023AD29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0023AD2A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05" w:type="dxa"/>
                </w:tcPr>
                <w:p w14:paraId="0023AD2B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" w:type="dxa"/>
                </w:tcPr>
                <w:p w14:paraId="0023AD2C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81" w:type="dxa"/>
                </w:tcPr>
                <w:p w14:paraId="0023AD2D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1CB9" w14:paraId="0023AD36" w14:textId="77777777" w:rsidTr="00F41CB9">
              <w:trPr>
                <w:trHeight w:val="259"/>
              </w:trPr>
              <w:tc>
                <w:tcPr>
                  <w:tcW w:w="216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9"/>
                  </w:tblGrid>
                  <w:tr w:rsidR="00451F8C" w14:paraId="0023AD30" w14:textId="77777777">
                    <w:trPr>
                      <w:trHeight w:val="181"/>
                    </w:trPr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23AD2F" w14:textId="77777777" w:rsidR="00451F8C" w:rsidRDefault="00F41CB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Responsible Council Committee(s):</w:t>
                        </w:r>
                      </w:p>
                    </w:tc>
                  </w:tr>
                </w:tbl>
                <w:p w14:paraId="0023AD31" w14:textId="77777777" w:rsidR="00451F8C" w:rsidRDefault="00451F8C">
                  <w:pPr>
                    <w:spacing w:after="0" w:line="240" w:lineRule="auto"/>
                  </w:pPr>
                </w:p>
              </w:tc>
              <w:tc>
                <w:tcPr>
                  <w:tcW w:w="974" w:type="dxa"/>
                </w:tcPr>
                <w:p w14:paraId="0023AD34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81" w:type="dxa"/>
                </w:tcPr>
                <w:p w14:paraId="0023AD35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1CB9" w14:paraId="0023AD3E" w14:textId="77777777" w:rsidTr="00F41CB9">
              <w:trPr>
                <w:trHeight w:val="259"/>
              </w:trPr>
              <w:tc>
                <w:tcPr>
                  <w:tcW w:w="2160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4"/>
                  </w:tblGrid>
                  <w:tr w:rsidR="00451F8C" w14:paraId="0023AD38" w14:textId="77777777">
                    <w:trPr>
                      <w:trHeight w:val="181"/>
                    </w:trPr>
                    <w:tc>
                      <w:tcPr>
                        <w:tcW w:w="9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23AD37" w14:textId="68401DAB" w:rsidR="00451F8C" w:rsidRDefault="001C185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Land Use</w:t>
                        </w:r>
                        <w:r w:rsidR="00F41CB9">
                          <w:rPr>
                            <w:rFonts w:ascii="Arial" w:eastAsia="Arial" w:hAnsi="Arial"/>
                            <w:color w:val="000000"/>
                          </w:rPr>
                          <w:t xml:space="preserve"> &amp;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Neighborhoods </w:t>
                        </w:r>
                      </w:p>
                    </w:tc>
                  </w:tr>
                </w:tbl>
                <w:p w14:paraId="0023AD39" w14:textId="77777777" w:rsidR="00451F8C" w:rsidRDefault="00451F8C">
                  <w:pPr>
                    <w:spacing w:after="0" w:line="240" w:lineRule="auto"/>
                  </w:pPr>
                </w:p>
              </w:tc>
            </w:tr>
            <w:tr w:rsidR="00451F8C" w14:paraId="0023AD44" w14:textId="77777777">
              <w:trPr>
                <w:trHeight w:val="179"/>
              </w:trPr>
              <w:tc>
                <w:tcPr>
                  <w:tcW w:w="2160" w:type="dxa"/>
                </w:tcPr>
                <w:p w14:paraId="0023AD3F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0023AD40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05" w:type="dxa"/>
                </w:tcPr>
                <w:p w14:paraId="0023AD41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" w:type="dxa"/>
                </w:tcPr>
                <w:p w14:paraId="0023AD42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81" w:type="dxa"/>
                </w:tcPr>
                <w:p w14:paraId="0023AD43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1F8C" w14:paraId="0023AD4C" w14:textId="77777777">
              <w:tc>
                <w:tcPr>
                  <w:tcW w:w="21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</w:tblGrid>
                  <w:tr w:rsidR="00451F8C" w14:paraId="0023AD46" w14:textId="77777777">
                    <w:trPr>
                      <w:trHeight w:val="181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23AD45" w14:textId="77777777" w:rsidR="00451F8C" w:rsidRDefault="00F41CB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Date Due to Council:</w:t>
                        </w:r>
                      </w:p>
                    </w:tc>
                  </w:tr>
                </w:tbl>
                <w:p w14:paraId="0023AD47" w14:textId="77777777" w:rsidR="00451F8C" w:rsidRDefault="00451F8C">
                  <w:pPr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0023AD48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05" w:type="dxa"/>
                </w:tcPr>
                <w:p w14:paraId="0023AD49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" w:type="dxa"/>
                </w:tcPr>
                <w:p w14:paraId="0023AD4A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81" w:type="dxa"/>
                </w:tcPr>
                <w:p w14:paraId="0023AD4B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1CB9" w14:paraId="0023AD54" w14:textId="77777777" w:rsidTr="00F41CB9">
              <w:trPr>
                <w:trHeight w:val="259"/>
              </w:trPr>
              <w:tc>
                <w:tcPr>
                  <w:tcW w:w="2160" w:type="dxa"/>
                  <w:vMerge/>
                </w:tcPr>
                <w:p w14:paraId="0023AD4D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0023AD4E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0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9"/>
                  </w:tblGrid>
                  <w:tr w:rsidR="00451F8C" w14:paraId="0023AD50" w14:textId="77777777">
                    <w:trPr>
                      <w:trHeight w:val="181"/>
                    </w:trPr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23AD4F" w14:textId="2A6ADF4A" w:rsidR="00451F8C" w:rsidRDefault="00D93651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March </w:t>
                        </w:r>
                        <w:r w:rsidR="00F41CB9">
                          <w:rPr>
                            <w:rFonts w:ascii="Arial" w:eastAsia="Arial" w:hAnsi="Arial"/>
                            <w:color w:val="000000"/>
                          </w:rPr>
                          <w:t>3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1</w:t>
                        </w:r>
                        <w:r w:rsidR="00F41CB9">
                          <w:rPr>
                            <w:rFonts w:ascii="Arial" w:eastAsia="Arial" w:hAnsi="Arial"/>
                            <w:color w:val="000000"/>
                          </w:rPr>
                          <w:t>, 202</w:t>
                        </w:r>
                        <w:r w:rsidR="001C1850">
                          <w:rPr>
                            <w:rFonts w:ascii="Arial" w:eastAsia="Arial" w:hAnsi="Arial"/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14:paraId="0023AD51" w14:textId="77777777" w:rsidR="00451F8C" w:rsidRDefault="00451F8C">
                  <w:pPr>
                    <w:spacing w:after="0" w:line="240" w:lineRule="auto"/>
                  </w:pPr>
                </w:p>
              </w:tc>
              <w:tc>
                <w:tcPr>
                  <w:tcW w:w="4281" w:type="dxa"/>
                </w:tcPr>
                <w:p w14:paraId="0023AD53" w14:textId="5045BDDA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1F8C" w14:paraId="0023AD5A" w14:textId="77777777">
              <w:trPr>
                <w:trHeight w:val="259"/>
              </w:trPr>
              <w:tc>
                <w:tcPr>
                  <w:tcW w:w="2160" w:type="dxa"/>
                </w:tcPr>
                <w:p w14:paraId="0023AD55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" w:type="dxa"/>
                </w:tcPr>
                <w:p w14:paraId="0023AD56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05" w:type="dxa"/>
                </w:tcPr>
                <w:p w14:paraId="0023AD57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4" w:type="dxa"/>
                </w:tcPr>
                <w:p w14:paraId="0023AD58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81" w:type="dxa"/>
                </w:tcPr>
                <w:p w14:paraId="0023AD59" w14:textId="77777777" w:rsidR="00451F8C" w:rsidRDefault="00451F8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023AD5B" w14:textId="77777777" w:rsidR="00451F8C" w:rsidRDefault="00451F8C">
            <w:pPr>
              <w:spacing w:after="0" w:line="240" w:lineRule="auto"/>
            </w:pPr>
          </w:p>
        </w:tc>
        <w:tc>
          <w:tcPr>
            <w:tcW w:w="126" w:type="dxa"/>
          </w:tcPr>
          <w:p w14:paraId="0023AD5C" w14:textId="77777777" w:rsidR="00451F8C" w:rsidRDefault="00451F8C">
            <w:pPr>
              <w:pStyle w:val="EmptyCellLayoutStyle"/>
              <w:spacing w:after="0" w:line="240" w:lineRule="auto"/>
            </w:pPr>
          </w:p>
        </w:tc>
      </w:tr>
    </w:tbl>
    <w:p w14:paraId="0023AD5E" w14:textId="77777777" w:rsidR="00451F8C" w:rsidRDefault="00451F8C">
      <w:pPr>
        <w:spacing w:after="0" w:line="240" w:lineRule="auto"/>
      </w:pPr>
    </w:p>
    <w:sectPr w:rsidR="00451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71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20CF" w14:textId="77777777" w:rsidR="00C71BE0" w:rsidRDefault="00C71BE0">
      <w:pPr>
        <w:spacing w:after="0" w:line="240" w:lineRule="auto"/>
      </w:pPr>
      <w:r>
        <w:separator/>
      </w:r>
    </w:p>
  </w:endnote>
  <w:endnote w:type="continuationSeparator" w:id="0">
    <w:p w14:paraId="29818A08" w14:textId="77777777" w:rsidR="00C71BE0" w:rsidRDefault="00C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4292" w14:textId="77777777" w:rsidR="00AB63B0" w:rsidRDefault="00AB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"/>
      <w:gridCol w:w="72"/>
      <w:gridCol w:w="9576"/>
      <w:gridCol w:w="72"/>
      <w:gridCol w:w="53"/>
    </w:tblGrid>
    <w:tr w:rsidR="00451F8C" w14:paraId="0023ADF3" w14:textId="77777777">
      <w:tc>
        <w:tcPr>
          <w:tcW w:w="18" w:type="dxa"/>
        </w:tcPr>
        <w:p w14:paraId="0023ADEC" w14:textId="77777777" w:rsidR="00451F8C" w:rsidRDefault="00451F8C">
          <w:pPr>
            <w:pStyle w:val="EmptyCellLayoutStyle"/>
            <w:spacing w:after="0" w:line="240" w:lineRule="auto"/>
          </w:pPr>
        </w:p>
      </w:tc>
      <w:tc>
        <w:tcPr>
          <w:tcW w:w="72" w:type="dxa"/>
        </w:tcPr>
        <w:p w14:paraId="0023ADED" w14:textId="77777777" w:rsidR="00451F8C" w:rsidRDefault="00451F8C">
          <w:pPr>
            <w:pStyle w:val="EmptyCellLayoutStyle"/>
            <w:spacing w:after="0" w:line="240" w:lineRule="auto"/>
          </w:pPr>
        </w:p>
      </w:tc>
      <w:tc>
        <w:tcPr>
          <w:tcW w:w="9576" w:type="dxa"/>
        </w:tcPr>
        <w:p w14:paraId="0023ADF0" w14:textId="77777777" w:rsidR="00451F8C" w:rsidRDefault="00451F8C">
          <w:pPr>
            <w:spacing w:after="0" w:line="240" w:lineRule="auto"/>
          </w:pPr>
        </w:p>
      </w:tc>
      <w:tc>
        <w:tcPr>
          <w:tcW w:w="72" w:type="dxa"/>
        </w:tcPr>
        <w:p w14:paraId="0023ADF1" w14:textId="77777777" w:rsidR="00451F8C" w:rsidRDefault="00451F8C">
          <w:pPr>
            <w:pStyle w:val="EmptyCellLayoutStyle"/>
            <w:spacing w:after="0" w:line="240" w:lineRule="auto"/>
          </w:pPr>
        </w:p>
      </w:tc>
      <w:tc>
        <w:tcPr>
          <w:tcW w:w="53" w:type="dxa"/>
        </w:tcPr>
        <w:p w14:paraId="0023ADF2" w14:textId="77777777" w:rsidR="00451F8C" w:rsidRDefault="00451F8C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5D12" w14:textId="77777777" w:rsidR="00AB63B0" w:rsidRDefault="00AB6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AF8F" w14:textId="77777777" w:rsidR="00C71BE0" w:rsidRDefault="00C71BE0">
      <w:pPr>
        <w:spacing w:after="0" w:line="240" w:lineRule="auto"/>
      </w:pPr>
      <w:r>
        <w:separator/>
      </w:r>
    </w:p>
  </w:footnote>
  <w:footnote w:type="continuationSeparator" w:id="0">
    <w:p w14:paraId="225410F6" w14:textId="77777777" w:rsidR="00C71BE0" w:rsidRDefault="00C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BB8B" w14:textId="77777777" w:rsidR="00AB63B0" w:rsidRDefault="00AB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1"/>
    </w:tblGrid>
    <w:tr w:rsidR="00451F8C" w14:paraId="0023ADC4" w14:textId="77777777">
      <w:tc>
        <w:tcPr>
          <w:tcW w:w="9792" w:type="dxa"/>
        </w:tcPr>
        <w:p w14:paraId="0023ADC3" w14:textId="77777777" w:rsidR="00451F8C" w:rsidRDefault="00451F8C">
          <w:pPr>
            <w:spacing w:after="0" w:line="240" w:lineRule="auto"/>
          </w:pPr>
        </w:p>
      </w:tc>
    </w:tr>
  </w:tbl>
  <w:sdt>
    <w:sdtPr>
      <w:id w:val="1350681771"/>
      <w:docPartObj>
        <w:docPartGallery w:val="Watermarks"/>
        <w:docPartUnique/>
      </w:docPartObj>
    </w:sdtPr>
    <w:sdtEndPr>
      <w:rPr>
        <w:noProof/>
      </w:rPr>
    </w:sdtEndPr>
    <w:sdtContent>
      <w:p w14:paraId="6B9FD776" w14:textId="2F6A9E20" w:rsidR="00CD77CF" w:rsidRDefault="00C71BE0">
        <w:r>
          <w:rPr>
            <w:noProof/>
          </w:rPr>
          <w:pict w14:anchorId="24C420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36FA" w14:textId="77777777" w:rsidR="00AB63B0" w:rsidRDefault="00AB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8C"/>
    <w:rsid w:val="00125881"/>
    <w:rsid w:val="001C1850"/>
    <w:rsid w:val="00291F29"/>
    <w:rsid w:val="004312D6"/>
    <w:rsid w:val="004513CE"/>
    <w:rsid w:val="00451F8C"/>
    <w:rsid w:val="004B0693"/>
    <w:rsid w:val="00514782"/>
    <w:rsid w:val="006B1F7C"/>
    <w:rsid w:val="007667FA"/>
    <w:rsid w:val="00850E12"/>
    <w:rsid w:val="00AB63B0"/>
    <w:rsid w:val="00AF261D"/>
    <w:rsid w:val="00C71BE0"/>
    <w:rsid w:val="00CD727C"/>
    <w:rsid w:val="00CD77CF"/>
    <w:rsid w:val="00CD7DCA"/>
    <w:rsid w:val="00D93651"/>
    <w:rsid w:val="00DB643D"/>
    <w:rsid w:val="00DD56ED"/>
    <w:rsid w:val="00E577D7"/>
    <w:rsid w:val="00F37FD4"/>
    <w:rsid w:val="00F41CB9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23A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C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50"/>
  </w:style>
  <w:style w:type="paragraph" w:styleId="Footer">
    <w:name w:val="footer"/>
    <w:basedOn w:val="Normal"/>
    <w:link w:val="FooterChar"/>
    <w:uiPriority w:val="99"/>
    <w:unhideWhenUsed/>
    <w:rsid w:val="001C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1824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2021-09-10T21:43:00Z</dcterms:created>
  <dcterms:modified xsi:type="dcterms:W3CDTF">2021-09-10T21:44:00Z</dcterms:modified>
</cp:coreProperties>
</file>